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bottom w:w="200" w:type="dxa"/>
          <w:right w:w="10" w:type="dxa"/>
        </w:tblCellMar>
        <w:tblLook w:val="04A0" w:firstRow="1" w:lastRow="0" w:firstColumn="1" w:lastColumn="0" w:noHBand="0" w:noVBand="1"/>
      </w:tblPr>
      <w:tblGrid>
        <w:gridCol w:w="6570"/>
        <w:gridCol w:w="2790"/>
      </w:tblGrid>
      <w:tr w:rsidR="00FB5C4C" w14:paraId="690CA234" w14:textId="77777777" w:rsidTr="00E67935">
        <w:trPr>
          <w:trHeight w:val="1600"/>
        </w:trPr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01820"/>
            <w:tcMar>
              <w:top w:w="200" w:type="dxa"/>
              <w:left w:w="240" w:type="dxa"/>
              <w:bottom w:w="200" w:type="dxa"/>
              <w:right w:w="240" w:type="dxa"/>
            </w:tcMar>
            <w:vAlign w:val="center"/>
          </w:tcPr>
          <w:p w14:paraId="573D76C5" w14:textId="77777777" w:rsidR="00FB5C4C" w:rsidRDefault="000270F4">
            <w:pPr>
              <w:spacing w:after="80"/>
            </w:pPr>
            <w:r>
              <w:rPr>
                <w:b/>
                <w:bCs/>
                <w:color w:val="FFFFFF"/>
                <w:sz w:val="40"/>
                <w:szCs w:val="40"/>
              </w:rPr>
              <w:t>SBIR/STTR Reauthorization</w:t>
            </w:r>
          </w:p>
          <w:p w14:paraId="6C0238E8" w14:textId="77777777" w:rsidR="00FB5C4C" w:rsidRDefault="000270F4">
            <w:pPr>
              <w:spacing w:after="80"/>
            </w:pPr>
            <w:r>
              <w:rPr>
                <w:b/>
                <w:bCs/>
                <w:color w:val="00BF6F"/>
                <w:sz w:val="32"/>
                <w:szCs w:val="32"/>
              </w:rPr>
              <w:t>What You Need to Know</w:t>
            </w:r>
          </w:p>
          <w:p w14:paraId="2C4E1837" w14:textId="10EDED07" w:rsidR="00FB5C4C" w:rsidRDefault="000270F4">
            <w:pPr>
              <w:spacing w:before="80"/>
            </w:pPr>
            <w:r>
              <w:rPr>
                <w:i/>
                <w:iCs/>
                <w:color w:val="59BEC9"/>
                <w:sz w:val="19"/>
                <w:szCs w:val="19"/>
              </w:rPr>
              <w:t xml:space="preserve">Small Business Innovation and Economic Security Act  |  </w:t>
            </w:r>
            <w:r w:rsidR="009541ED">
              <w:rPr>
                <w:i/>
                <w:iCs/>
                <w:color w:val="59BEC9"/>
                <w:sz w:val="19"/>
                <w:szCs w:val="19"/>
              </w:rPr>
              <w:t>April</w:t>
            </w:r>
            <w:r>
              <w:rPr>
                <w:i/>
                <w:iCs/>
                <w:color w:val="59BEC9"/>
                <w:sz w:val="19"/>
                <w:szCs w:val="19"/>
              </w:rPr>
              <w:t xml:space="preserve"> 2026</w:t>
            </w:r>
          </w:p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3BA3D" w14:textId="77777777" w:rsidR="00FB5C4C" w:rsidRDefault="000270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05AA07" wp14:editId="3CD744A8">
                  <wp:extent cx="1619250" cy="923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t="26363" b="29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7A23F" w14:textId="77777777" w:rsidR="00FB5C4C" w:rsidRDefault="00FB5C4C">
      <w:pPr>
        <w:spacing w:before="160" w:after="80"/>
      </w:pPr>
    </w:p>
    <w:p w14:paraId="33D8204E" w14:textId="338F7346" w:rsidR="00FB5C4C" w:rsidRDefault="000270F4">
      <w:pPr>
        <w:spacing w:before="80" w:after="80"/>
      </w:pPr>
      <w:r>
        <w:rPr>
          <w:color w:val="101820"/>
        </w:rPr>
        <w:t xml:space="preserve">After expiring on September 30, 2025, the SBIR/STTR program </w:t>
      </w:r>
      <w:r w:rsidR="00A011C6">
        <w:rPr>
          <w:color w:val="101820"/>
        </w:rPr>
        <w:t>is now</w:t>
      </w:r>
      <w:r>
        <w:rPr>
          <w:color w:val="101820"/>
        </w:rPr>
        <w:t xml:space="preserve"> reauthorized under the Small Business Innovation and Economic Security Act</w:t>
      </w:r>
      <w:r w:rsidR="00A011C6">
        <w:rPr>
          <w:color w:val="101820"/>
        </w:rPr>
        <w:t>.</w:t>
      </w:r>
      <w:r w:rsidR="00E67935">
        <w:rPr>
          <w:color w:val="101820"/>
        </w:rPr>
        <w:t xml:space="preserve"> </w:t>
      </w:r>
      <w:r w:rsidR="00586483">
        <w:rPr>
          <w:color w:val="101820"/>
        </w:rPr>
        <w:t>T</w:t>
      </w:r>
      <w:r>
        <w:rPr>
          <w:color w:val="101820"/>
        </w:rPr>
        <w:t xml:space="preserve">his is strongly positive news for small businesses </w:t>
      </w:r>
      <w:r w:rsidR="00586483">
        <w:rPr>
          <w:color w:val="101820"/>
        </w:rPr>
        <w:t xml:space="preserve">developing new research &amp; development </w:t>
      </w:r>
      <w:r w:rsidR="00E67935">
        <w:rPr>
          <w:color w:val="101820"/>
        </w:rPr>
        <w:t xml:space="preserve">- </w:t>
      </w:r>
      <w:r>
        <w:rPr>
          <w:color w:val="101820"/>
        </w:rPr>
        <w:t>the core program is intact and several meaningful improvements have been made.</w:t>
      </w:r>
    </w:p>
    <w:p w14:paraId="055C2CE0" w14:textId="77777777" w:rsidR="00FB5C4C" w:rsidRDefault="00FB5C4C">
      <w:pPr>
        <w:spacing w:before="80" w:after="80"/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090"/>
      </w:tblGrid>
      <w:tr w:rsidR="00FB5C4C" w14:paraId="47BF7DC7" w14:textId="77777777" w:rsidTr="004A7958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BF6F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C324D5D" w14:textId="77777777" w:rsidR="00FB5C4C" w:rsidRDefault="000270F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⏰</w:t>
            </w:r>
          </w:p>
        </w:tc>
        <w:tc>
          <w:tcPr>
            <w:tcW w:w="90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8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CEC744" w14:textId="45BFF3CA" w:rsidR="00FB5C4C" w:rsidRDefault="000270F4">
            <w:r>
              <w:rPr>
                <w:color w:val="101820"/>
                <w:sz w:val="21"/>
                <w:szCs w:val="21"/>
              </w:rPr>
              <w:t xml:space="preserve">Agencies may release solicitations quickly after enactment to obligate funds. FY26 underspend may also roll into FY27, potentially making it one of the most active solicitation cycles in years. Start </w:t>
            </w:r>
            <w:r w:rsidR="00586483">
              <w:rPr>
                <w:color w:val="101820"/>
                <w:sz w:val="21"/>
                <w:szCs w:val="21"/>
              </w:rPr>
              <w:t xml:space="preserve">planning your </w:t>
            </w:r>
            <w:r>
              <w:rPr>
                <w:color w:val="101820"/>
                <w:sz w:val="21"/>
                <w:szCs w:val="21"/>
              </w:rPr>
              <w:t xml:space="preserve">proposals now </w:t>
            </w:r>
            <w:r w:rsidR="00E67935">
              <w:rPr>
                <w:color w:val="101820"/>
                <w:sz w:val="21"/>
                <w:szCs w:val="21"/>
              </w:rPr>
              <w:t xml:space="preserve">- </w:t>
            </w:r>
            <w:r>
              <w:rPr>
                <w:color w:val="101820"/>
                <w:sz w:val="21"/>
                <w:szCs w:val="21"/>
              </w:rPr>
              <w:t>don't wait for solicitations to drop</w:t>
            </w:r>
            <w:r w:rsidR="00586483">
              <w:rPr>
                <w:color w:val="101820"/>
                <w:sz w:val="21"/>
                <w:szCs w:val="21"/>
              </w:rPr>
              <w:t xml:space="preserve"> to think about your scope of work.  Keep an eye out for frequent solicitation releases once the program is reauthorized. </w:t>
            </w:r>
          </w:p>
        </w:tc>
      </w:tr>
    </w:tbl>
    <w:p w14:paraId="489F754C" w14:textId="49E854B0" w:rsidR="00FB5C4C" w:rsidRDefault="000270F4">
      <w:pPr>
        <w:pStyle w:val="Heading1"/>
        <w:pBdr>
          <w:bottom w:val="single" w:sz="10" w:space="4" w:color="00BF6F"/>
        </w:pBdr>
        <w:spacing w:before="300" w:after="140"/>
      </w:pPr>
      <w:r>
        <w:rPr>
          <w:b/>
          <w:bCs/>
          <w:color w:val="101820"/>
          <w:sz w:val="30"/>
          <w:szCs w:val="30"/>
        </w:rPr>
        <w:t>The Program at a Glance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5129"/>
      </w:tblGrid>
      <w:tr w:rsidR="00FB5C4C" w14:paraId="1A4C9373" w14:textId="77777777" w:rsidTr="004A7958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018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3BC34" w14:textId="77777777" w:rsidR="00FB5C4C" w:rsidRDefault="000270F4">
            <w:r>
              <w:rPr>
                <w:b/>
                <w:bCs/>
                <w:color w:val="FFFFFF"/>
                <w:sz w:val="20"/>
                <w:szCs w:val="20"/>
              </w:rPr>
              <w:t>What's Changing</w:t>
            </w:r>
          </w:p>
        </w:tc>
        <w:tc>
          <w:tcPr>
            <w:tcW w:w="51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018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7D755" w14:textId="77777777" w:rsidR="00FB5C4C" w:rsidRDefault="000270F4">
            <w:r>
              <w:rPr>
                <w:b/>
                <w:bCs/>
                <w:color w:val="FFFFFF"/>
                <w:sz w:val="20"/>
                <w:szCs w:val="20"/>
              </w:rPr>
              <w:t>What's Staying the Same</w:t>
            </w:r>
          </w:p>
        </w:tc>
      </w:tr>
      <w:tr w:rsidR="00FB5C4C" w14:paraId="2ABDE247" w14:textId="77777777" w:rsidTr="004A7958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165C4" w14:textId="77777777" w:rsidR="00FB5C4C" w:rsidRDefault="000270F4">
            <w:r>
              <w:rPr>
                <w:color w:val="101820"/>
                <w:sz w:val="20"/>
                <w:szCs w:val="20"/>
              </w:rPr>
              <w:t>Program authorized through September 30, 2031</w:t>
            </w:r>
          </w:p>
        </w:tc>
        <w:tc>
          <w:tcPr>
            <w:tcW w:w="51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9D284" w14:textId="77777777" w:rsidR="00FB5C4C" w:rsidRDefault="000270F4">
            <w:r>
              <w:rPr>
                <w:color w:val="101820"/>
                <w:sz w:val="20"/>
                <w:szCs w:val="20"/>
              </w:rPr>
              <w:t>SBIR set-aside: 3.2% of agency extramural R&amp;D</w:t>
            </w:r>
          </w:p>
        </w:tc>
      </w:tr>
      <w:tr w:rsidR="00FB5C4C" w14:paraId="458EA4D0" w14:textId="77777777" w:rsidTr="004A7958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E8CD7" w14:textId="0683C242" w:rsidR="00FB5C4C" w:rsidRDefault="000270F4">
            <w:r>
              <w:rPr>
                <w:color w:val="101820"/>
                <w:sz w:val="20"/>
                <w:szCs w:val="20"/>
              </w:rPr>
              <w:t>New Strategic Breakthrough Phase II (up to $30M</w:t>
            </w:r>
            <w:r w:rsidR="00586483">
              <w:rPr>
                <w:color w:val="101820"/>
                <w:sz w:val="20"/>
                <w:szCs w:val="20"/>
              </w:rPr>
              <w:t xml:space="preserve"> per award</w:t>
            </w:r>
            <w:r>
              <w:rPr>
                <w:color w:val="101820"/>
                <w:sz w:val="20"/>
                <w:szCs w:val="20"/>
              </w:rPr>
              <w:t>)</w:t>
            </w:r>
          </w:p>
        </w:tc>
        <w:tc>
          <w:tcPr>
            <w:tcW w:w="51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E0625" w14:textId="77777777" w:rsidR="00FB5C4C" w:rsidRDefault="000270F4">
            <w:r>
              <w:rPr>
                <w:color w:val="101820"/>
                <w:sz w:val="20"/>
                <w:szCs w:val="20"/>
              </w:rPr>
              <w:t>STTR set-aside: 0.45% of agency extramural R&amp;D</w:t>
            </w:r>
          </w:p>
        </w:tc>
      </w:tr>
      <w:tr w:rsidR="00FB5C4C" w14:paraId="5D1FAB74" w14:textId="77777777" w:rsidTr="004A7958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5A492" w14:textId="77777777" w:rsidR="00FB5C4C" w:rsidRDefault="000270F4">
            <w:r>
              <w:rPr>
                <w:color w:val="101820"/>
                <w:sz w:val="20"/>
                <w:szCs w:val="20"/>
              </w:rPr>
              <w:t>TABA funds expanded and more flexible</w:t>
            </w:r>
          </w:p>
        </w:tc>
        <w:tc>
          <w:tcPr>
            <w:tcW w:w="51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722D2" w14:textId="77777777" w:rsidR="00FB5C4C" w:rsidRDefault="000270F4">
            <w:r>
              <w:rPr>
                <w:color w:val="101820"/>
                <w:sz w:val="20"/>
                <w:szCs w:val="20"/>
              </w:rPr>
              <w:t>Core small business eligibility rules</w:t>
            </w:r>
          </w:p>
        </w:tc>
      </w:tr>
      <w:tr w:rsidR="00FB5C4C" w14:paraId="33C98E6C" w14:textId="77777777" w:rsidTr="004A7958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160D3" w14:textId="77777777" w:rsidR="00FB5C4C" w:rsidRDefault="000270F4">
            <w:r>
              <w:rPr>
                <w:color w:val="101820"/>
                <w:sz w:val="20"/>
                <w:szCs w:val="20"/>
              </w:rPr>
              <w:t>New foreign risk due diligence requirements</w:t>
            </w:r>
          </w:p>
        </w:tc>
        <w:tc>
          <w:tcPr>
            <w:tcW w:w="51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C56C6" w14:textId="77777777" w:rsidR="00FB5C4C" w:rsidRDefault="000270F4">
            <w:r>
              <w:rPr>
                <w:color w:val="101820"/>
                <w:sz w:val="20"/>
                <w:szCs w:val="20"/>
              </w:rPr>
              <w:t>Phase I, Phase II, Phase III structure</w:t>
            </w:r>
          </w:p>
        </w:tc>
      </w:tr>
      <w:tr w:rsidR="00FB5C4C" w14:paraId="652FE613" w14:textId="77777777" w:rsidTr="004A7958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98A51" w14:textId="77777777" w:rsidR="00FB5C4C" w:rsidRDefault="000270F4">
            <w:r>
              <w:rPr>
                <w:color w:val="101820"/>
                <w:sz w:val="20"/>
                <w:szCs w:val="20"/>
              </w:rPr>
              <w:t>Proposal submission caps per agency</w:t>
            </w:r>
          </w:p>
        </w:tc>
        <w:tc>
          <w:tcPr>
            <w:tcW w:w="51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C3166" w14:textId="2E91C3A5" w:rsidR="00FB5C4C" w:rsidRDefault="000270F4">
            <w:r>
              <w:rPr>
                <w:color w:val="101820"/>
                <w:sz w:val="20"/>
                <w:szCs w:val="20"/>
              </w:rPr>
              <w:t xml:space="preserve">No $75M lifetime cap </w:t>
            </w:r>
            <w:r w:rsidR="00E67935">
              <w:rPr>
                <w:color w:val="101820"/>
                <w:sz w:val="20"/>
                <w:szCs w:val="20"/>
              </w:rPr>
              <w:t xml:space="preserve">- </w:t>
            </w:r>
            <w:r>
              <w:rPr>
                <w:color w:val="101820"/>
                <w:sz w:val="20"/>
                <w:szCs w:val="20"/>
              </w:rPr>
              <w:t>that proposal was dropped</w:t>
            </w:r>
          </w:p>
        </w:tc>
      </w:tr>
      <w:tr w:rsidR="00FB5C4C" w14:paraId="0939C8AA" w14:textId="77777777" w:rsidTr="004A7958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A66CD" w14:textId="77777777" w:rsidR="00FB5C4C" w:rsidRDefault="000270F4">
            <w:r>
              <w:rPr>
                <w:color w:val="101820"/>
                <w:sz w:val="20"/>
                <w:szCs w:val="20"/>
              </w:rPr>
              <w:t>FY26 carryover funds roll into FY27</w:t>
            </w:r>
          </w:p>
        </w:tc>
        <w:tc>
          <w:tcPr>
            <w:tcW w:w="51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6C900" w14:textId="6FF861E0" w:rsidR="00FB5C4C" w:rsidRDefault="000270F4">
            <w:r>
              <w:rPr>
                <w:color w:val="101820"/>
                <w:sz w:val="20"/>
                <w:szCs w:val="20"/>
              </w:rPr>
              <w:t>STTR 40%</w:t>
            </w:r>
            <w:r w:rsidR="00586483">
              <w:rPr>
                <w:color w:val="101820"/>
                <w:sz w:val="20"/>
                <w:szCs w:val="20"/>
              </w:rPr>
              <w:t xml:space="preserve"> small business &amp; </w:t>
            </w:r>
            <w:r>
              <w:rPr>
                <w:color w:val="101820"/>
                <w:sz w:val="20"/>
                <w:szCs w:val="20"/>
              </w:rPr>
              <w:t xml:space="preserve">30% </w:t>
            </w:r>
            <w:r w:rsidR="00586483">
              <w:rPr>
                <w:color w:val="101820"/>
                <w:sz w:val="20"/>
                <w:szCs w:val="20"/>
              </w:rPr>
              <w:t xml:space="preserve">research institution </w:t>
            </w:r>
            <w:r>
              <w:rPr>
                <w:color w:val="101820"/>
                <w:sz w:val="20"/>
                <w:szCs w:val="20"/>
              </w:rPr>
              <w:t>workshare rules preserved</w:t>
            </w:r>
          </w:p>
        </w:tc>
      </w:tr>
    </w:tbl>
    <w:p w14:paraId="41C7CF0C" w14:textId="3C017E0A" w:rsidR="00FB5C4C" w:rsidRDefault="000270F4">
      <w:pPr>
        <w:pStyle w:val="Heading1"/>
        <w:pBdr>
          <w:bottom w:val="single" w:sz="10" w:space="4" w:color="00BF6F"/>
        </w:pBdr>
        <w:spacing w:before="300" w:after="140"/>
      </w:pPr>
      <w:r>
        <w:rPr>
          <w:b/>
          <w:bCs/>
          <w:color w:val="101820"/>
          <w:sz w:val="30"/>
          <w:szCs w:val="30"/>
        </w:rPr>
        <w:t xml:space="preserve">1. </w:t>
      </w:r>
      <w:r w:rsidR="00E67935">
        <w:rPr>
          <w:b/>
          <w:bCs/>
          <w:color w:val="101820"/>
          <w:sz w:val="30"/>
          <w:szCs w:val="30"/>
        </w:rPr>
        <w:t>P</w:t>
      </w:r>
      <w:r>
        <w:rPr>
          <w:b/>
          <w:bCs/>
          <w:color w:val="101820"/>
          <w:sz w:val="30"/>
          <w:szCs w:val="30"/>
        </w:rPr>
        <w:t>rogram Extended Through 2031</w:t>
      </w:r>
    </w:p>
    <w:p w14:paraId="35A2B801" w14:textId="22367C72" w:rsidR="00FB5C4C" w:rsidRDefault="000270F4">
      <w:pPr>
        <w:spacing w:before="80" w:after="80"/>
        <w:rPr>
          <w:color w:val="101820"/>
        </w:rPr>
      </w:pPr>
      <w:r>
        <w:rPr>
          <w:color w:val="101820"/>
        </w:rPr>
        <w:t xml:space="preserve">The reauthorization runs for five years </w:t>
      </w:r>
      <w:r w:rsidR="00E67935">
        <w:rPr>
          <w:color w:val="101820"/>
        </w:rPr>
        <w:t xml:space="preserve">- </w:t>
      </w:r>
      <w:r>
        <w:rPr>
          <w:color w:val="101820"/>
        </w:rPr>
        <w:t>through September 30, 2031. This is not a permanent authorization; Congress will need to act again before that date. However, for companies currently working Phase I contracts or planning future submissions, this provides meaningful runway and funding stability.</w:t>
      </w:r>
      <w:r w:rsidR="004A7958">
        <w:rPr>
          <w:color w:val="101820"/>
        </w:rPr>
        <w:t xml:space="preserve"> </w:t>
      </w:r>
      <w:r>
        <w:rPr>
          <w:color w:val="101820"/>
        </w:rPr>
        <w:t xml:space="preserve">The program's structure </w:t>
      </w:r>
      <w:r w:rsidR="00E67935">
        <w:rPr>
          <w:color w:val="101820"/>
        </w:rPr>
        <w:t xml:space="preserve">- </w:t>
      </w:r>
      <w:r>
        <w:rPr>
          <w:color w:val="101820"/>
        </w:rPr>
        <w:t xml:space="preserve">phases, set-asides, and eligibility </w:t>
      </w:r>
      <w:r w:rsidR="00E67935">
        <w:rPr>
          <w:color w:val="101820"/>
        </w:rPr>
        <w:t xml:space="preserve">- </w:t>
      </w:r>
      <w:r>
        <w:rPr>
          <w:color w:val="101820"/>
        </w:rPr>
        <w:t>is unchanged by this reauthorization. It extends the existing framework, not redesigns it.</w:t>
      </w:r>
    </w:p>
    <w:p w14:paraId="613D4D85" w14:textId="2A78D88F" w:rsidR="00FB5C4C" w:rsidRDefault="000270F4">
      <w:pPr>
        <w:pStyle w:val="Heading1"/>
        <w:pBdr>
          <w:bottom w:val="single" w:sz="10" w:space="4" w:color="00BF6F"/>
        </w:pBdr>
        <w:spacing w:before="300" w:after="140"/>
      </w:pPr>
      <w:r>
        <w:rPr>
          <w:b/>
          <w:bCs/>
          <w:color w:val="101820"/>
          <w:sz w:val="30"/>
          <w:szCs w:val="30"/>
        </w:rPr>
        <w:t>2. Key Structural Changes You Should Know</w:t>
      </w:r>
    </w:p>
    <w:p w14:paraId="07D3DCCF" w14:textId="77777777" w:rsidR="00FB5C4C" w:rsidRDefault="000270F4">
      <w:pPr>
        <w:pStyle w:val="Heading2"/>
        <w:spacing w:before="200" w:after="100"/>
      </w:pPr>
      <w:r>
        <w:rPr>
          <w:b/>
          <w:bCs/>
          <w:color w:val="00BF6F"/>
          <w:sz w:val="24"/>
          <w:szCs w:val="24"/>
        </w:rPr>
        <w:t>New Strategic Breakthrough Phase II</w:t>
      </w:r>
    </w:p>
    <w:p w14:paraId="65CA9D7B" w14:textId="366FE6D5" w:rsidR="00FB5C4C" w:rsidRDefault="000270F4">
      <w:pPr>
        <w:spacing w:before="80" w:after="80"/>
      </w:pPr>
      <w:r>
        <w:rPr>
          <w:color w:val="101820"/>
        </w:rPr>
        <w:lastRenderedPageBreak/>
        <w:t>The most significant new opportunity in the bill. A new category of expanded Phase II awards</w:t>
      </w:r>
      <w:r w:rsidR="00586483">
        <w:rPr>
          <w:color w:val="101820"/>
        </w:rPr>
        <w:t xml:space="preserve"> </w:t>
      </w:r>
      <w:r>
        <w:rPr>
          <w:color w:val="101820"/>
        </w:rPr>
        <w:t>is designed to bridge the gap between R&amp;D and commercialization. Key features:</w:t>
      </w:r>
    </w:p>
    <w:p w14:paraId="29085EF0" w14:textId="77777777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Awards up to $30M (agency-dependent), with grant terms up to 4 years</w:t>
      </w:r>
    </w:p>
    <w:p w14:paraId="412EDC34" w14:textId="77777777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A 1:1 match of non-SBIR funds is required for every dollar awarded</w:t>
      </w:r>
    </w:p>
    <w:p w14:paraId="3DC28784" w14:textId="7DF74B32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Matching sources can include venture capital, non-SBIR federal funds</w:t>
      </w:r>
      <w:r w:rsidR="00586483">
        <w:rPr>
          <w:color w:val="101820"/>
        </w:rPr>
        <w:t xml:space="preserve"> through grants or contracts</w:t>
      </w:r>
    </w:p>
    <w:p w14:paraId="6AD59783" w14:textId="130CCADB" w:rsidR="00FB5C4C" w:rsidRDefault="00586483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 xml:space="preserve">Implementation and availability may vary widely between agencies. </w:t>
      </w:r>
      <w:r w:rsidR="000270F4">
        <w:rPr>
          <w:color w:val="101820"/>
        </w:rPr>
        <w:t xml:space="preserve">DoD, NIH, NASA, and NSF </w:t>
      </w:r>
      <w:r>
        <w:rPr>
          <w:color w:val="101820"/>
        </w:rPr>
        <w:t xml:space="preserve">are excepted to be active early with Strategic Breakthrough Phase II opportunities </w:t>
      </w:r>
      <w:r w:rsidR="00E67935">
        <w:rPr>
          <w:color w:val="101820"/>
        </w:rPr>
        <w:t xml:space="preserve">- </w:t>
      </w:r>
      <w:r w:rsidR="000270F4">
        <w:rPr>
          <w:color w:val="101820"/>
        </w:rPr>
        <w:t>companies in defense tech, life sciences, and deep tech should pay closest attention</w:t>
      </w:r>
    </w:p>
    <w:p w14:paraId="04829E77" w14:textId="77777777" w:rsidR="00FB5C4C" w:rsidRDefault="000270F4">
      <w:pPr>
        <w:pStyle w:val="Heading2"/>
        <w:spacing w:before="200" w:after="100"/>
      </w:pPr>
      <w:r>
        <w:rPr>
          <w:b/>
          <w:bCs/>
          <w:color w:val="00BF6F"/>
          <w:sz w:val="24"/>
          <w:szCs w:val="24"/>
        </w:rPr>
        <w:t>TABA: Expanded Commercialization Funding</w:t>
      </w:r>
    </w:p>
    <w:p w14:paraId="2205F9B9" w14:textId="251538CE" w:rsidR="00FB5C4C" w:rsidRDefault="000270F4">
      <w:pPr>
        <w:spacing w:before="80" w:after="80"/>
      </w:pPr>
      <w:r>
        <w:rPr>
          <w:color w:val="101820"/>
        </w:rPr>
        <w:t xml:space="preserve">Technical and Business Assistance (TABA) funding </w:t>
      </w:r>
      <w:r w:rsidR="00E67935">
        <w:rPr>
          <w:color w:val="101820"/>
        </w:rPr>
        <w:t xml:space="preserve">- </w:t>
      </w:r>
      <w:r>
        <w:rPr>
          <w:color w:val="101820"/>
        </w:rPr>
        <w:t xml:space="preserve">a separate budget </w:t>
      </w:r>
      <w:r w:rsidR="004272E1">
        <w:rPr>
          <w:color w:val="101820"/>
        </w:rPr>
        <w:t>category within the</w:t>
      </w:r>
      <w:r>
        <w:rPr>
          <w:color w:val="101820"/>
        </w:rPr>
        <w:t xml:space="preserve"> core R&amp;D award </w:t>
      </w:r>
      <w:r w:rsidR="004272E1">
        <w:rPr>
          <w:color w:val="101820"/>
        </w:rPr>
        <w:t xml:space="preserve">that funds non-research activities </w:t>
      </w:r>
      <w:r w:rsidR="00E67935">
        <w:rPr>
          <w:color w:val="101820"/>
        </w:rPr>
        <w:t xml:space="preserve">- </w:t>
      </w:r>
      <w:r>
        <w:rPr>
          <w:color w:val="101820"/>
        </w:rPr>
        <w:t>has been expanded</w:t>
      </w:r>
      <w:r w:rsidR="00586483">
        <w:rPr>
          <w:color w:val="101820"/>
        </w:rPr>
        <w:t xml:space="preserve"> and solidified as common practice</w:t>
      </w:r>
      <w:r w:rsidR="004272E1">
        <w:rPr>
          <w:color w:val="101820"/>
        </w:rPr>
        <w:t xml:space="preserve"> across agencies</w:t>
      </w:r>
      <w:r>
        <w:rPr>
          <w:color w:val="101820"/>
        </w:rPr>
        <w:t xml:space="preserve">. Every Phase I and Phase II company should </w:t>
      </w:r>
      <w:r w:rsidR="00586483">
        <w:rPr>
          <w:color w:val="101820"/>
        </w:rPr>
        <w:t xml:space="preserve">consider </w:t>
      </w:r>
      <w:r>
        <w:rPr>
          <w:color w:val="101820"/>
        </w:rPr>
        <w:t>including TABA in their proposal budget. New authorizations include:</w:t>
      </w:r>
    </w:p>
    <w:p w14:paraId="5A49F46A" w14:textId="23FFE0C7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Using TABA to fund your own staff time on commercialization activities</w:t>
      </w:r>
      <w:r w:rsidR="00586483">
        <w:rPr>
          <w:color w:val="101820"/>
        </w:rPr>
        <w:t xml:space="preserve"> and training</w:t>
      </w:r>
      <w:r>
        <w:rPr>
          <w:color w:val="101820"/>
        </w:rPr>
        <w:t xml:space="preserve"> (not just outside consultants)</w:t>
      </w:r>
      <w:r w:rsidR="00586483">
        <w:rPr>
          <w:color w:val="101820"/>
        </w:rPr>
        <w:t>.  Companies will need to monitor how this defined across agencies</w:t>
      </w:r>
    </w:p>
    <w:p w14:paraId="623267EA" w14:textId="77777777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Cybersecurity compliance assistance (CMMC, NIST SP 800-171)</w:t>
      </w:r>
    </w:p>
    <w:p w14:paraId="42C95AF1" w14:textId="77777777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Foreign involvement screening and cap table review</w:t>
      </w:r>
    </w:p>
    <w:p w14:paraId="41B2AEB6" w14:textId="64C7BD2A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 xml:space="preserve">Freedom to choose your own TABA vendors </w:t>
      </w:r>
      <w:r w:rsidR="00586483">
        <w:rPr>
          <w:color w:val="101820"/>
        </w:rPr>
        <w:t>–</w:t>
      </w:r>
      <w:r w:rsidR="00E67935">
        <w:rPr>
          <w:color w:val="101820"/>
        </w:rPr>
        <w:t xml:space="preserve"> </w:t>
      </w:r>
      <w:r>
        <w:rPr>
          <w:color w:val="101820"/>
        </w:rPr>
        <w:t>agenc</w:t>
      </w:r>
      <w:r w:rsidR="00586483">
        <w:rPr>
          <w:color w:val="101820"/>
        </w:rPr>
        <w:t>ies need to be more flexible allowing company-selected vendors</w:t>
      </w:r>
    </w:p>
    <w:p w14:paraId="7EE549D0" w14:textId="77777777" w:rsidR="00FB5C4C" w:rsidRDefault="000270F4">
      <w:pPr>
        <w:spacing w:before="80" w:after="80"/>
      </w:pPr>
      <w:r>
        <w:rPr>
          <w:color w:val="101820"/>
        </w:rPr>
        <w:t>TABA ceilings are now uniform by statute: $6,500 at Phase I and $50,000 at Phase II.</w:t>
      </w:r>
    </w:p>
    <w:p w14:paraId="6A96E8F3" w14:textId="77777777" w:rsidR="00FB5C4C" w:rsidRDefault="000270F4">
      <w:pPr>
        <w:pStyle w:val="Heading2"/>
        <w:spacing w:before="200" w:after="100"/>
      </w:pPr>
      <w:r>
        <w:rPr>
          <w:b/>
          <w:bCs/>
          <w:color w:val="00BF6F"/>
          <w:sz w:val="24"/>
          <w:szCs w:val="24"/>
        </w:rPr>
        <w:t>Foreign Risk &amp; Due Diligence</w:t>
      </w:r>
    </w:p>
    <w:p w14:paraId="3A73908A" w14:textId="58995CC5" w:rsidR="00FB5C4C" w:rsidRDefault="000270F4">
      <w:pPr>
        <w:spacing w:before="80" w:after="80"/>
      </w:pPr>
      <w:r>
        <w:rPr>
          <w:color w:val="101820"/>
        </w:rPr>
        <w:t xml:space="preserve">Agencies now have expanded authority to review foreign influence and ownership as part of the SBIR/STTR application process. This includes ownership structure, investor relationships, key personnel affiliations, and cybersecurity practices. Transparency and proactive disclosure are critical </w:t>
      </w:r>
      <w:r w:rsidR="00E67935">
        <w:rPr>
          <w:color w:val="101820"/>
        </w:rPr>
        <w:t xml:space="preserve">- </w:t>
      </w:r>
      <w:r>
        <w:rPr>
          <w:color w:val="101820"/>
        </w:rPr>
        <w:t>gaps discovered later are far more problematic than upfront disclosure.</w:t>
      </w:r>
    </w:p>
    <w:p w14:paraId="139C1DFB" w14:textId="77777777" w:rsidR="00FB5C4C" w:rsidRDefault="000270F4">
      <w:pPr>
        <w:pStyle w:val="Heading2"/>
        <w:spacing w:before="200" w:after="100"/>
      </w:pPr>
      <w:r>
        <w:rPr>
          <w:b/>
          <w:bCs/>
          <w:color w:val="00BF6F"/>
          <w:sz w:val="24"/>
          <w:szCs w:val="24"/>
        </w:rPr>
        <w:t>Proposal Submission Caps</w:t>
      </w:r>
    </w:p>
    <w:p w14:paraId="6736E426" w14:textId="77777777" w:rsidR="00FB5C4C" w:rsidRDefault="000270F4">
      <w:pPr>
        <w:spacing w:before="80" w:after="80"/>
      </w:pPr>
      <w:r>
        <w:rPr>
          <w:color w:val="101820"/>
        </w:rPr>
        <w:t>Agencies are now required to establish limits on how many proposals a single company can submit. This signals a clear shift toward quality over quantity:</w:t>
      </w:r>
    </w:p>
    <w:p w14:paraId="620CD445" w14:textId="383F63A6" w:rsidR="00586483" w:rsidRPr="00B474E2" w:rsidRDefault="00586483">
      <w:pPr>
        <w:pStyle w:val="ListParagraph"/>
        <w:numPr>
          <w:ilvl w:val="0"/>
          <w:numId w:val="2"/>
        </w:numPr>
        <w:spacing w:before="60" w:after="60"/>
      </w:pPr>
      <w:r>
        <w:t xml:space="preserve">Every agency has flexibility to apply this differently – either as a limit on </w:t>
      </w:r>
      <w:r w:rsidR="004272E1">
        <w:t>proposals per topic, per solicitation or per year.  Pay attention to how each agencies implements this change.</w:t>
      </w:r>
    </w:p>
    <w:p w14:paraId="3FDB67F6" w14:textId="731E0759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Be selective and strategic about topic choices</w:t>
      </w:r>
    </w:p>
    <w:p w14:paraId="5F302042" w14:textId="350F16FE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 xml:space="preserve">Agencies are screening harder </w:t>
      </w:r>
      <w:r w:rsidR="00E67935">
        <w:rPr>
          <w:color w:val="101820"/>
        </w:rPr>
        <w:t xml:space="preserve">- </w:t>
      </w:r>
      <w:r>
        <w:rPr>
          <w:color w:val="101820"/>
        </w:rPr>
        <w:t>proposals without genuine technical differentiation will fare poorly</w:t>
      </w:r>
    </w:p>
    <w:p w14:paraId="5452604A" w14:textId="77777777" w:rsidR="00FB5C4C" w:rsidRPr="00B474E2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Waivers are allowed for urgent national security topics but capped at 5% of topics</w:t>
      </w:r>
    </w:p>
    <w:p w14:paraId="24C6295E" w14:textId="77777777" w:rsidR="00FB5C4C" w:rsidRDefault="000270F4">
      <w:pPr>
        <w:pStyle w:val="Heading1"/>
        <w:pBdr>
          <w:bottom w:val="single" w:sz="10" w:space="4" w:color="00BF6F"/>
        </w:pBdr>
        <w:spacing w:before="300" w:after="140"/>
      </w:pPr>
      <w:r>
        <w:rPr>
          <w:b/>
          <w:bCs/>
          <w:color w:val="101820"/>
          <w:sz w:val="30"/>
          <w:szCs w:val="30"/>
        </w:rPr>
        <w:t>3. FY27 May Be an Unusually Active Year</w:t>
      </w:r>
    </w:p>
    <w:p w14:paraId="612DAF86" w14:textId="5DB0F2E3" w:rsidR="00FB5C4C" w:rsidRDefault="000270F4">
      <w:pPr>
        <w:spacing w:before="80" w:after="80"/>
      </w:pPr>
      <w:r>
        <w:rPr>
          <w:color w:val="101820"/>
        </w:rPr>
        <w:t xml:space="preserve">Because reauthorization happened mid-fiscal year (FY26), many agencies </w:t>
      </w:r>
      <w:r w:rsidR="004272E1">
        <w:rPr>
          <w:color w:val="101820"/>
        </w:rPr>
        <w:t xml:space="preserve">will have </w:t>
      </w:r>
      <w:r>
        <w:rPr>
          <w:color w:val="101820"/>
        </w:rPr>
        <w:t>limited time to fully obligate their SBIR funds. The new bill includes a carryover provision: under-obligated FY26 funds can roll into FY27.</w:t>
      </w:r>
    </w:p>
    <w:p w14:paraId="30B3803F" w14:textId="3EE16F0C" w:rsidR="00FB5C4C" w:rsidRDefault="000270F4">
      <w:pPr>
        <w:spacing w:before="80" w:after="80"/>
      </w:pPr>
      <w:r>
        <w:rPr>
          <w:color w:val="101820"/>
        </w:rPr>
        <w:t xml:space="preserve">Combined with the regular FY27 SBIR set-aside, this could result in a larger-than-normal number of solicitations </w:t>
      </w:r>
      <w:r w:rsidR="00E67935">
        <w:rPr>
          <w:color w:val="101820"/>
        </w:rPr>
        <w:t xml:space="preserve">- </w:t>
      </w:r>
      <w:r>
        <w:rPr>
          <w:color w:val="101820"/>
        </w:rPr>
        <w:t>more Phase I and Phase II opportunities at a faster pace.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0" w:type="dxa"/>
          <w:left w:w="10" w:type="dxa"/>
          <w:bottom w:w="16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FB5C4C" w14:paraId="4B6C57C0" w14:textId="77777777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47BB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14BBF2F" w14:textId="77777777" w:rsidR="00FB5C4C" w:rsidRDefault="000270F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📅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8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F2672A" w14:textId="3E90BEDF" w:rsidR="00FB5C4C" w:rsidRDefault="000270F4">
            <w:r>
              <w:rPr>
                <w:color w:val="101820"/>
                <w:sz w:val="21"/>
                <w:szCs w:val="21"/>
              </w:rPr>
              <w:t>The window to prepare is now. Companies that have proposals ready when solicitations drop in FY27 will have a meaningful competitive advantage.</w:t>
            </w:r>
            <w:r w:rsidR="004272E1">
              <w:rPr>
                <w:color w:val="101820"/>
                <w:sz w:val="21"/>
                <w:szCs w:val="21"/>
              </w:rPr>
              <w:t xml:space="preserve">  This is particularly true for larger grant-focused agencies like NSF and NIH as well as DOD.  </w:t>
            </w:r>
          </w:p>
        </w:tc>
      </w:tr>
    </w:tbl>
    <w:p w14:paraId="45442EBA" w14:textId="77777777" w:rsidR="00FB5C4C" w:rsidRDefault="000270F4">
      <w:pPr>
        <w:pStyle w:val="Heading1"/>
        <w:pBdr>
          <w:bottom w:val="single" w:sz="10" w:space="4" w:color="00BF6F"/>
        </w:pBdr>
        <w:spacing w:before="300" w:after="140"/>
      </w:pPr>
      <w:r>
        <w:rPr>
          <w:b/>
          <w:bCs/>
          <w:color w:val="101820"/>
          <w:sz w:val="30"/>
          <w:szCs w:val="30"/>
        </w:rPr>
        <w:t>4. What Was Debated But Dropped</w:t>
      </w:r>
    </w:p>
    <w:p w14:paraId="63C173E7" w14:textId="77777777" w:rsidR="00FB5C4C" w:rsidRDefault="000270F4">
      <w:pPr>
        <w:spacing w:before="80" w:after="80"/>
      </w:pPr>
      <w:r>
        <w:rPr>
          <w:color w:val="101820"/>
        </w:rPr>
        <w:t>Several provisions did NOT make it into the final bill:</w:t>
      </w:r>
    </w:p>
    <w:p w14:paraId="0F88590F" w14:textId="77777777" w:rsidR="00FB5C4C" w:rsidRDefault="00FB5C4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B5C4C" w14:paraId="6C65FC8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018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D5CC0" w14:textId="77777777" w:rsidR="00FB5C4C" w:rsidRDefault="000270F4">
            <w:r>
              <w:rPr>
                <w:b/>
                <w:bCs/>
                <w:color w:val="FFFFFF"/>
                <w:sz w:val="20"/>
                <w:szCs w:val="20"/>
              </w:rPr>
              <w:t>Provision Debated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018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C3CD1" w14:textId="77777777" w:rsidR="00FB5C4C" w:rsidRDefault="000270F4">
            <w:r>
              <w:rPr>
                <w:b/>
                <w:bCs/>
                <w:color w:val="FFFFFF"/>
                <w:sz w:val="20"/>
                <w:szCs w:val="20"/>
              </w:rPr>
              <w:t>Final Outcome</w:t>
            </w:r>
          </w:p>
        </w:tc>
      </w:tr>
      <w:tr w:rsidR="00FB5C4C" w14:paraId="45A5892B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6E3AD" w14:textId="77777777" w:rsidR="00FB5C4C" w:rsidRDefault="000270F4">
            <w:r>
              <w:rPr>
                <w:color w:val="101820"/>
                <w:sz w:val="20"/>
                <w:szCs w:val="20"/>
              </w:rPr>
              <w:t>$75M lifetime award cap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922B6" w14:textId="3AAA8EF3" w:rsidR="00FB5C4C" w:rsidRDefault="000270F4">
            <w:r>
              <w:rPr>
                <w:color w:val="101820"/>
                <w:sz w:val="20"/>
                <w:szCs w:val="20"/>
              </w:rPr>
              <w:t xml:space="preserve">Not adopted </w:t>
            </w:r>
            <w:r w:rsidR="00E67935">
              <w:rPr>
                <w:color w:val="101820"/>
                <w:sz w:val="20"/>
                <w:szCs w:val="20"/>
              </w:rPr>
              <w:t xml:space="preserve">- </w:t>
            </w:r>
            <w:r>
              <w:rPr>
                <w:color w:val="101820"/>
                <w:sz w:val="20"/>
                <w:szCs w:val="20"/>
              </w:rPr>
              <w:t>no cap on cumulative awards</w:t>
            </w:r>
          </w:p>
        </w:tc>
      </w:tr>
      <w:tr w:rsidR="00FB5C4C" w14:paraId="74AF727A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C0392" w14:textId="77777777" w:rsidR="00FB5C4C" w:rsidRDefault="000270F4">
            <w:r>
              <w:rPr>
                <w:color w:val="101820"/>
                <w:sz w:val="20"/>
                <w:szCs w:val="20"/>
              </w:rPr>
              <w:t>Permanent authorization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1E6C8" w14:textId="77777777" w:rsidR="00FB5C4C" w:rsidRDefault="000270F4">
            <w:r>
              <w:rPr>
                <w:color w:val="101820"/>
                <w:sz w:val="20"/>
                <w:szCs w:val="20"/>
              </w:rPr>
              <w:t>Extended through 2031 only (not permanent)</w:t>
            </w:r>
          </w:p>
        </w:tc>
      </w:tr>
      <w:tr w:rsidR="00FB5C4C" w14:paraId="353B467D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79AC6" w14:textId="77777777" w:rsidR="00FB5C4C" w:rsidRDefault="000270F4">
            <w:r>
              <w:rPr>
                <w:color w:val="101820"/>
                <w:sz w:val="20"/>
                <w:szCs w:val="20"/>
              </w:rPr>
              <w:t>Set-aside rate modifications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9597F" w14:textId="77777777" w:rsidR="00FB5C4C" w:rsidRDefault="000270F4">
            <w:r>
              <w:rPr>
                <w:color w:val="101820"/>
                <w:sz w:val="20"/>
                <w:szCs w:val="20"/>
              </w:rPr>
              <w:t>SBIR 3.2% / STTR 0.45% unchanged</w:t>
            </w:r>
          </w:p>
        </w:tc>
      </w:tr>
      <w:tr w:rsidR="00FB5C4C" w14:paraId="560B787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BEBB9" w14:textId="77777777" w:rsidR="00FB5C4C" w:rsidRDefault="000270F4">
            <w:r>
              <w:rPr>
                <w:color w:val="101820"/>
                <w:sz w:val="20"/>
                <w:szCs w:val="20"/>
              </w:rPr>
              <w:t>Stricter commercialization thresholds for repeat awardees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EE887" w14:textId="3966DBB7" w:rsidR="00FB5C4C" w:rsidRDefault="000270F4">
            <w:r>
              <w:rPr>
                <w:color w:val="101820"/>
                <w:sz w:val="20"/>
                <w:szCs w:val="20"/>
              </w:rPr>
              <w:t xml:space="preserve">Not adopted </w:t>
            </w:r>
            <w:r w:rsidR="00E67935">
              <w:rPr>
                <w:color w:val="101820"/>
                <w:sz w:val="20"/>
                <w:szCs w:val="20"/>
              </w:rPr>
              <w:t xml:space="preserve">- </w:t>
            </w:r>
            <w:r>
              <w:rPr>
                <w:color w:val="101820"/>
                <w:sz w:val="20"/>
                <w:szCs w:val="20"/>
              </w:rPr>
              <w:t>core eligibility rules unchanged</w:t>
            </w:r>
          </w:p>
        </w:tc>
      </w:tr>
      <w:tr w:rsidR="00FB5C4C" w14:paraId="48EFE6A2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8EC2F" w14:textId="77777777" w:rsidR="00FB5C4C" w:rsidRDefault="000270F4">
            <w:r>
              <w:rPr>
                <w:color w:val="101820"/>
                <w:sz w:val="20"/>
                <w:szCs w:val="20"/>
              </w:rPr>
              <w:t>Stronger exclusions for high-volume firms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98C16" w14:textId="77777777" w:rsidR="00FB5C4C" w:rsidRDefault="000270F4">
            <w:r>
              <w:rPr>
                <w:color w:val="101820"/>
                <w:sz w:val="20"/>
                <w:szCs w:val="20"/>
              </w:rPr>
              <w:t>Replaced with targeted proposal caps only</w:t>
            </w:r>
          </w:p>
        </w:tc>
      </w:tr>
      <w:tr w:rsidR="00FB5C4C" w14:paraId="15A4F32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FA8FF" w14:textId="77777777" w:rsidR="00FB5C4C" w:rsidRDefault="000270F4">
            <w:r>
              <w:rPr>
                <w:color w:val="101820"/>
                <w:sz w:val="20"/>
                <w:szCs w:val="20"/>
              </w:rPr>
              <w:t>Tighter STTR performer rules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F9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317CC" w14:textId="77777777" w:rsidR="00FB5C4C" w:rsidRDefault="000270F4">
            <w:r>
              <w:rPr>
                <w:color w:val="101820"/>
                <w:sz w:val="20"/>
                <w:szCs w:val="20"/>
              </w:rPr>
              <w:t>STTR pathway and workshare requirements preserved</w:t>
            </w:r>
          </w:p>
        </w:tc>
      </w:tr>
    </w:tbl>
    <w:p w14:paraId="4FAE1407" w14:textId="77777777" w:rsidR="00FB5C4C" w:rsidRDefault="000270F4">
      <w:pPr>
        <w:pStyle w:val="Heading1"/>
        <w:pBdr>
          <w:bottom w:val="single" w:sz="10" w:space="4" w:color="00BF6F"/>
        </w:pBdr>
        <w:spacing w:before="300" w:after="140"/>
      </w:pPr>
      <w:r>
        <w:rPr>
          <w:b/>
          <w:bCs/>
          <w:color w:val="101820"/>
          <w:sz w:val="30"/>
          <w:szCs w:val="30"/>
        </w:rPr>
        <w:t>5. Bottom Line for Your Company</w:t>
      </w:r>
    </w:p>
    <w:p w14:paraId="644337DE" w14:textId="3459799D" w:rsidR="00FB5C4C" w:rsidRDefault="00911282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T</w:t>
      </w:r>
      <w:r w:rsidR="004272E1">
        <w:rPr>
          <w:color w:val="101820"/>
        </w:rPr>
        <w:t>he</w:t>
      </w:r>
      <w:r w:rsidR="000270F4">
        <w:rPr>
          <w:color w:val="101820"/>
        </w:rPr>
        <w:t xml:space="preserve"> program </w:t>
      </w:r>
      <w:r>
        <w:rPr>
          <w:color w:val="101820"/>
        </w:rPr>
        <w:t>is</w:t>
      </w:r>
      <w:r w:rsidR="004272E1">
        <w:rPr>
          <w:color w:val="101820"/>
        </w:rPr>
        <w:t xml:space="preserve"> </w:t>
      </w:r>
      <w:r w:rsidR="000270F4">
        <w:rPr>
          <w:color w:val="101820"/>
        </w:rPr>
        <w:t xml:space="preserve">intact through 2031 </w:t>
      </w:r>
    </w:p>
    <w:p w14:paraId="01C32C00" w14:textId="3395C4D2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 xml:space="preserve">Start proposal preparation now, before solicitations are released </w:t>
      </w:r>
      <w:r w:rsidR="00E67935">
        <w:rPr>
          <w:color w:val="101820"/>
        </w:rPr>
        <w:t xml:space="preserve">- </w:t>
      </w:r>
      <w:r>
        <w:rPr>
          <w:color w:val="101820"/>
        </w:rPr>
        <w:t>FY27 may see elevated activity</w:t>
      </w:r>
    </w:p>
    <w:p w14:paraId="377BA224" w14:textId="1D9B75B4" w:rsidR="00FB5C4C" w:rsidRDefault="004272E1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 xml:space="preserve">Consider </w:t>
      </w:r>
      <w:r w:rsidR="000270F4">
        <w:rPr>
          <w:color w:val="101820"/>
        </w:rPr>
        <w:t xml:space="preserve">TABA in every proposal budget </w:t>
      </w:r>
      <w:r>
        <w:rPr>
          <w:color w:val="101820"/>
        </w:rPr>
        <w:t>–</w:t>
      </w:r>
      <w:r w:rsidR="00E67935">
        <w:rPr>
          <w:color w:val="101820"/>
        </w:rPr>
        <w:t xml:space="preserve"> </w:t>
      </w:r>
      <w:r>
        <w:rPr>
          <w:color w:val="101820"/>
        </w:rPr>
        <w:t>these allow you to spend SBIR/STTR funding on traditionally non-research activities normally restricted</w:t>
      </w:r>
    </w:p>
    <w:p w14:paraId="1D080404" w14:textId="77777777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If you're a Phase II winner, begin exploring the Strategic Breakthrough opportunity as agencies implement it</w:t>
      </w:r>
    </w:p>
    <w:p w14:paraId="578EDC20" w14:textId="77777777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>Review your cap table, investor relationships, and key personnel affiliations ahead of your next submission</w:t>
      </w:r>
    </w:p>
    <w:p w14:paraId="1E9FAD31" w14:textId="1BF44ABA" w:rsidR="00FB5C4C" w:rsidRDefault="000270F4">
      <w:pPr>
        <w:pStyle w:val="ListParagraph"/>
        <w:numPr>
          <w:ilvl w:val="0"/>
          <w:numId w:val="2"/>
        </w:numPr>
        <w:spacing w:before="60" w:after="60"/>
      </w:pPr>
      <w:r>
        <w:rPr>
          <w:color w:val="101820"/>
        </w:rPr>
        <w:t xml:space="preserve">Focus on proposal quality and topic specificity </w:t>
      </w:r>
      <w:r w:rsidR="00E67935">
        <w:rPr>
          <w:color w:val="101820"/>
        </w:rPr>
        <w:t xml:space="preserve">- </w:t>
      </w:r>
      <w:r>
        <w:rPr>
          <w:color w:val="101820"/>
        </w:rPr>
        <w:t>volume-based strategies are becoming less effective</w:t>
      </w:r>
    </w:p>
    <w:p w14:paraId="6EC3E40D" w14:textId="77777777" w:rsidR="00FB5C4C" w:rsidRDefault="00FB5C4C">
      <w:pPr>
        <w:spacing w:before="16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2560"/>
      </w:tblGrid>
      <w:tr w:rsidR="00FB5C4C" w14:paraId="0DE10152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01820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C10A9DA" w14:textId="77777777" w:rsidR="00FB5C4C" w:rsidRDefault="000270F4">
            <w:r>
              <w:rPr>
                <w:b/>
                <w:bCs/>
                <w:color w:val="59BEC9"/>
                <w:sz w:val="18"/>
                <w:szCs w:val="18"/>
              </w:rPr>
              <w:t>FL FAST | Florida High Tech Corridor  |  floridahightech.com</w:t>
            </w:r>
          </w:p>
          <w:p w14:paraId="5650F606" w14:textId="77777777" w:rsidR="00FB5C4C" w:rsidRDefault="000270F4">
            <w:r>
              <w:rPr>
                <w:i/>
                <w:iCs/>
                <w:color w:val="AAAAAA"/>
                <w:sz w:val="16"/>
                <w:szCs w:val="16"/>
              </w:rPr>
              <w:t>This document is a summary for informational purposes and should not be construed as legal or procurement advice.</w:t>
            </w:r>
          </w:p>
        </w:tc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BF6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B1852" w14:textId="239B8A5E" w:rsidR="00FB5C4C" w:rsidRDefault="0091128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April</w:t>
            </w:r>
            <w:r w:rsidR="000270F4">
              <w:rPr>
                <w:b/>
                <w:bCs/>
                <w:color w:val="FFFFFF"/>
                <w:sz w:val="20"/>
                <w:szCs w:val="20"/>
              </w:rPr>
              <w:t xml:space="preserve"> 2026</w:t>
            </w:r>
          </w:p>
        </w:tc>
      </w:tr>
    </w:tbl>
    <w:p w14:paraId="0BFC6043" w14:textId="77777777" w:rsidR="00C4712E" w:rsidRDefault="00C4712E"/>
    <w:sectPr w:rsidR="00C47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953C" w14:textId="77777777" w:rsidR="0091621B" w:rsidRDefault="0091621B" w:rsidP="00B474E2">
      <w:r>
        <w:separator/>
      </w:r>
    </w:p>
  </w:endnote>
  <w:endnote w:type="continuationSeparator" w:id="0">
    <w:p w14:paraId="4EBDAFFA" w14:textId="77777777" w:rsidR="0091621B" w:rsidRDefault="0091621B" w:rsidP="00B4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60EF" w14:textId="77777777" w:rsidR="00B474E2" w:rsidRDefault="00B4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F514" w14:textId="77777777" w:rsidR="00B474E2" w:rsidRDefault="00B474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21F6" w14:textId="77777777" w:rsidR="00B474E2" w:rsidRDefault="00B4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1240" w14:textId="77777777" w:rsidR="0091621B" w:rsidRDefault="0091621B" w:rsidP="00B474E2">
      <w:r>
        <w:separator/>
      </w:r>
    </w:p>
  </w:footnote>
  <w:footnote w:type="continuationSeparator" w:id="0">
    <w:p w14:paraId="10E231A0" w14:textId="77777777" w:rsidR="0091621B" w:rsidRDefault="0091621B" w:rsidP="00B4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9579" w14:textId="77777777" w:rsidR="00B474E2" w:rsidRDefault="00B4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93CF" w14:textId="09863CE0" w:rsidR="00B474E2" w:rsidRDefault="00B4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3096" w14:textId="77777777" w:rsidR="00B474E2" w:rsidRDefault="00B4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1E58"/>
    <w:multiLevelType w:val="hybridMultilevel"/>
    <w:tmpl w:val="B09CEA5C"/>
    <w:lvl w:ilvl="0" w:tplc="644E8768">
      <w:start w:val="1"/>
      <w:numFmt w:val="bullet"/>
      <w:lvlText w:val="•"/>
      <w:lvlJc w:val="left"/>
      <w:pPr>
        <w:ind w:left="720" w:hanging="360"/>
      </w:pPr>
    </w:lvl>
    <w:lvl w:ilvl="1" w:tplc="420A0B84">
      <w:numFmt w:val="decimal"/>
      <w:lvlText w:val=""/>
      <w:lvlJc w:val="left"/>
    </w:lvl>
    <w:lvl w:ilvl="2" w:tplc="43BE1B96">
      <w:numFmt w:val="decimal"/>
      <w:lvlText w:val=""/>
      <w:lvlJc w:val="left"/>
    </w:lvl>
    <w:lvl w:ilvl="3" w:tplc="8EE4408A">
      <w:numFmt w:val="decimal"/>
      <w:lvlText w:val=""/>
      <w:lvlJc w:val="left"/>
    </w:lvl>
    <w:lvl w:ilvl="4" w:tplc="77521454">
      <w:numFmt w:val="decimal"/>
      <w:lvlText w:val=""/>
      <w:lvlJc w:val="left"/>
    </w:lvl>
    <w:lvl w:ilvl="5" w:tplc="5E8816F0">
      <w:numFmt w:val="decimal"/>
      <w:lvlText w:val=""/>
      <w:lvlJc w:val="left"/>
    </w:lvl>
    <w:lvl w:ilvl="6" w:tplc="480A1718">
      <w:numFmt w:val="decimal"/>
      <w:lvlText w:val=""/>
      <w:lvlJc w:val="left"/>
    </w:lvl>
    <w:lvl w:ilvl="7" w:tplc="52D87FBC">
      <w:numFmt w:val="decimal"/>
      <w:lvlText w:val=""/>
      <w:lvlJc w:val="left"/>
    </w:lvl>
    <w:lvl w:ilvl="8" w:tplc="E862905A">
      <w:numFmt w:val="decimal"/>
      <w:lvlText w:val=""/>
      <w:lvlJc w:val="left"/>
    </w:lvl>
  </w:abstractNum>
  <w:abstractNum w:abstractNumId="1" w15:restartNumberingAfterBreak="0">
    <w:nsid w:val="388C023D"/>
    <w:multiLevelType w:val="hybridMultilevel"/>
    <w:tmpl w:val="1EBC7B22"/>
    <w:lvl w:ilvl="0" w:tplc="40AA128C">
      <w:start w:val="1"/>
      <w:numFmt w:val="bullet"/>
      <w:lvlText w:val="●"/>
      <w:lvlJc w:val="left"/>
      <w:pPr>
        <w:ind w:left="720" w:hanging="360"/>
      </w:pPr>
    </w:lvl>
    <w:lvl w:ilvl="1" w:tplc="F22C3AA0">
      <w:start w:val="1"/>
      <w:numFmt w:val="bullet"/>
      <w:lvlText w:val="○"/>
      <w:lvlJc w:val="left"/>
      <w:pPr>
        <w:ind w:left="1440" w:hanging="360"/>
      </w:pPr>
    </w:lvl>
    <w:lvl w:ilvl="2" w:tplc="642A0A98">
      <w:start w:val="1"/>
      <w:numFmt w:val="bullet"/>
      <w:lvlText w:val="■"/>
      <w:lvlJc w:val="left"/>
      <w:pPr>
        <w:ind w:left="2160" w:hanging="360"/>
      </w:pPr>
    </w:lvl>
    <w:lvl w:ilvl="3" w:tplc="D460F24C">
      <w:start w:val="1"/>
      <w:numFmt w:val="bullet"/>
      <w:lvlText w:val="●"/>
      <w:lvlJc w:val="left"/>
      <w:pPr>
        <w:ind w:left="2880" w:hanging="360"/>
      </w:pPr>
    </w:lvl>
    <w:lvl w:ilvl="4" w:tplc="E07A42A0">
      <w:start w:val="1"/>
      <w:numFmt w:val="bullet"/>
      <w:lvlText w:val="○"/>
      <w:lvlJc w:val="left"/>
      <w:pPr>
        <w:ind w:left="3600" w:hanging="360"/>
      </w:pPr>
    </w:lvl>
    <w:lvl w:ilvl="5" w:tplc="4832F50A">
      <w:start w:val="1"/>
      <w:numFmt w:val="bullet"/>
      <w:lvlText w:val="■"/>
      <w:lvlJc w:val="left"/>
      <w:pPr>
        <w:ind w:left="4320" w:hanging="360"/>
      </w:pPr>
    </w:lvl>
    <w:lvl w:ilvl="6" w:tplc="345AD2B2">
      <w:start w:val="1"/>
      <w:numFmt w:val="bullet"/>
      <w:lvlText w:val="●"/>
      <w:lvlJc w:val="left"/>
      <w:pPr>
        <w:ind w:left="5040" w:hanging="360"/>
      </w:pPr>
    </w:lvl>
    <w:lvl w:ilvl="7" w:tplc="8BA8308C">
      <w:start w:val="1"/>
      <w:numFmt w:val="bullet"/>
      <w:lvlText w:val="●"/>
      <w:lvlJc w:val="left"/>
      <w:pPr>
        <w:ind w:left="5760" w:hanging="360"/>
      </w:pPr>
    </w:lvl>
    <w:lvl w:ilvl="8" w:tplc="B6CE70CE">
      <w:start w:val="1"/>
      <w:numFmt w:val="bullet"/>
      <w:lvlText w:val="●"/>
      <w:lvlJc w:val="left"/>
      <w:pPr>
        <w:ind w:left="6480" w:hanging="360"/>
      </w:pPr>
    </w:lvl>
  </w:abstractNum>
  <w:num w:numId="1" w16cid:durableId="1912691664">
    <w:abstractNumId w:val="1"/>
    <w:lvlOverride w:ilvl="0">
      <w:startOverride w:val="1"/>
    </w:lvlOverride>
  </w:num>
  <w:num w:numId="2" w16cid:durableId="625543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C"/>
    <w:rsid w:val="000270F4"/>
    <w:rsid w:val="000732C6"/>
    <w:rsid w:val="00111551"/>
    <w:rsid w:val="00140572"/>
    <w:rsid w:val="001F0D2C"/>
    <w:rsid w:val="00253870"/>
    <w:rsid w:val="00372569"/>
    <w:rsid w:val="00417256"/>
    <w:rsid w:val="004272E1"/>
    <w:rsid w:val="004A7958"/>
    <w:rsid w:val="00507F82"/>
    <w:rsid w:val="00586483"/>
    <w:rsid w:val="005C4353"/>
    <w:rsid w:val="00863FD2"/>
    <w:rsid w:val="008F2326"/>
    <w:rsid w:val="00911282"/>
    <w:rsid w:val="0091621B"/>
    <w:rsid w:val="009307BE"/>
    <w:rsid w:val="009541ED"/>
    <w:rsid w:val="00A011C6"/>
    <w:rsid w:val="00B474E2"/>
    <w:rsid w:val="00C4712E"/>
    <w:rsid w:val="00CF0093"/>
    <w:rsid w:val="00D90C57"/>
    <w:rsid w:val="00E67935"/>
    <w:rsid w:val="00F21076"/>
    <w:rsid w:val="00FB5C4C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7571"/>
  <w15:docId w15:val="{D1C53BF4-2D24-415D-A80E-4FE65135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586483"/>
  </w:style>
  <w:style w:type="paragraph" w:styleId="Header">
    <w:name w:val="header"/>
    <w:basedOn w:val="Normal"/>
    <w:link w:val="HeaderChar"/>
    <w:uiPriority w:val="99"/>
    <w:unhideWhenUsed/>
    <w:rsid w:val="00B47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4E2"/>
  </w:style>
  <w:style w:type="paragraph" w:styleId="Footer">
    <w:name w:val="footer"/>
    <w:basedOn w:val="Normal"/>
    <w:link w:val="FooterChar"/>
    <w:uiPriority w:val="99"/>
    <w:unhideWhenUsed/>
    <w:rsid w:val="00B47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1026</Words>
  <Characters>5604</Characters>
  <Application>Microsoft Office Word</Application>
  <DocSecurity>4</DocSecurity>
  <Lines>280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Jack Henkel</cp:lastModifiedBy>
  <cp:revision>2</cp:revision>
  <dcterms:created xsi:type="dcterms:W3CDTF">2026-04-15T11:57:00Z</dcterms:created>
  <dcterms:modified xsi:type="dcterms:W3CDTF">2026-04-15T11:57:00Z</dcterms:modified>
</cp:coreProperties>
</file>